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31" w:rsidRDefault="00176634"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11</w:t>
      </w:r>
      <w:bookmarkStart w:id="0" w:name="_GoBack"/>
      <w:bookmarkEnd w:id="0"/>
      <w:r w:rsidR="00D06D59" w:rsidRPr="00D06D59">
        <w:rPr>
          <w:rFonts w:ascii="Arial" w:eastAsia="Times New Roman" w:hAnsi="Arial" w:cs="Arial"/>
          <w:b/>
          <w:sz w:val="24"/>
          <w:szCs w:val="24"/>
          <w:lang w:eastAsia="sl-SI"/>
        </w:rPr>
        <w:t>3 VREME IN PODNEBJE – 3) Toplotni pasovi in podnebni tipi</w:t>
      </w:r>
    </w:p>
    <w:p w:rsidR="00560431" w:rsidRDefault="00560431"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Opisna preverjevalna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 xml:space="preserve">Izdelku je dodana vsebina, ki ni izrecno zahtevana ali so ustrezni odgovori narejeni na izviren način. Zapisana so tudi vprašanja učitelju ali razmislek o učenju. Ovrednoteni so viri ali dodani/upoštevani novi/drugi. Problemsko je načeto katero od vprašanj/nalog.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nezahtevanega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81" w:rsidRDefault="00BA7A81" w:rsidP="007226CC">
      <w:pPr>
        <w:spacing w:after="0" w:line="240" w:lineRule="auto"/>
      </w:pPr>
      <w:r>
        <w:separator/>
      </w:r>
    </w:p>
  </w:endnote>
  <w:endnote w:type="continuationSeparator" w:id="0">
    <w:p w:rsidR="00BA7A81" w:rsidRDefault="00BA7A81"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81" w:rsidRDefault="00BA7A81" w:rsidP="007226CC">
      <w:pPr>
        <w:spacing w:after="0" w:line="240" w:lineRule="auto"/>
      </w:pPr>
      <w:r>
        <w:separator/>
      </w:r>
    </w:p>
  </w:footnote>
  <w:footnote w:type="continuationSeparator" w:id="0">
    <w:p w:rsidR="00BA7A81" w:rsidRDefault="00BA7A81"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45B9"/>
    <w:rsid w:val="000C283F"/>
    <w:rsid w:val="00110FC6"/>
    <w:rsid w:val="00137CC5"/>
    <w:rsid w:val="001739CB"/>
    <w:rsid w:val="00176634"/>
    <w:rsid w:val="001A7F10"/>
    <w:rsid w:val="001D283D"/>
    <w:rsid w:val="00217648"/>
    <w:rsid w:val="00267982"/>
    <w:rsid w:val="00312AB8"/>
    <w:rsid w:val="003A6BB3"/>
    <w:rsid w:val="003B11DC"/>
    <w:rsid w:val="003D03E9"/>
    <w:rsid w:val="003D2AB1"/>
    <w:rsid w:val="00405BB1"/>
    <w:rsid w:val="00433903"/>
    <w:rsid w:val="00475849"/>
    <w:rsid w:val="00490E3D"/>
    <w:rsid w:val="004A4C1D"/>
    <w:rsid w:val="00560431"/>
    <w:rsid w:val="005A67B5"/>
    <w:rsid w:val="00626C16"/>
    <w:rsid w:val="007220B9"/>
    <w:rsid w:val="007226CC"/>
    <w:rsid w:val="0075725C"/>
    <w:rsid w:val="008137C3"/>
    <w:rsid w:val="00833540"/>
    <w:rsid w:val="00852806"/>
    <w:rsid w:val="0085534B"/>
    <w:rsid w:val="00876EC0"/>
    <w:rsid w:val="0091028A"/>
    <w:rsid w:val="00984AD1"/>
    <w:rsid w:val="009D0CBF"/>
    <w:rsid w:val="009F4438"/>
    <w:rsid w:val="00A45DF1"/>
    <w:rsid w:val="00A54C28"/>
    <w:rsid w:val="00B865AF"/>
    <w:rsid w:val="00BA7A81"/>
    <w:rsid w:val="00D06D59"/>
    <w:rsid w:val="00D712D2"/>
    <w:rsid w:val="00E65930"/>
    <w:rsid w:val="00E97A7F"/>
    <w:rsid w:val="00F06551"/>
    <w:rsid w:val="00F4721C"/>
    <w:rsid w:val="00F72BD3"/>
    <w:rsid w:val="00F770BB"/>
    <w:rsid w:val="00F9345B"/>
    <w:rsid w:val="00FB1353"/>
    <w:rsid w:val="00FB1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4</cp:revision>
  <cp:lastPrinted>2017-01-26T11:05:00Z</cp:lastPrinted>
  <dcterms:created xsi:type="dcterms:W3CDTF">2017-06-07T20:13:00Z</dcterms:created>
  <dcterms:modified xsi:type="dcterms:W3CDTF">2017-06-07T20:47:00Z</dcterms:modified>
</cp:coreProperties>
</file>