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431" w:rsidRPr="00723B2F" w:rsidRDefault="005336FE" w:rsidP="00560431">
      <w:pPr>
        <w:spacing w:after="0" w:line="240" w:lineRule="auto"/>
        <w:rPr>
          <w:rFonts w:ascii="Arial" w:eastAsia="Times New Roman" w:hAnsi="Arial" w:cs="Arial"/>
          <w:b/>
          <w:bCs/>
          <w:color w:val="000000"/>
          <w:sz w:val="24"/>
          <w:szCs w:val="24"/>
          <w:lang w:eastAsia="sl-SI"/>
        </w:rPr>
      </w:pPr>
      <w:r w:rsidRPr="005336FE">
        <w:rPr>
          <w:rFonts w:ascii="Arial" w:eastAsia="Times New Roman" w:hAnsi="Arial" w:cs="Arial"/>
          <w:b/>
          <w:sz w:val="24"/>
          <w:szCs w:val="24"/>
          <w:lang w:eastAsia="sl-SI"/>
        </w:rPr>
        <w:t>114 PRST</w:t>
      </w:r>
      <w:bookmarkStart w:id="0" w:name="_GoBack"/>
      <w:bookmarkEnd w:id="0"/>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77FC" w:rsidRDefault="00FD77FC" w:rsidP="007226CC">
      <w:pPr>
        <w:spacing w:after="0" w:line="240" w:lineRule="auto"/>
      </w:pPr>
      <w:r>
        <w:separator/>
      </w:r>
    </w:p>
  </w:endnote>
  <w:endnote w:type="continuationSeparator" w:id="0">
    <w:p w:rsidR="00FD77FC" w:rsidRDefault="00FD77FC"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77FC" w:rsidRDefault="00FD77FC" w:rsidP="007226CC">
      <w:pPr>
        <w:spacing w:after="0" w:line="240" w:lineRule="auto"/>
      </w:pPr>
      <w:r>
        <w:separator/>
      </w:r>
    </w:p>
  </w:footnote>
  <w:footnote w:type="continuationSeparator" w:id="0">
    <w:p w:rsidR="00FD77FC" w:rsidRDefault="00FD77FC"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D2AB1"/>
    <w:rsid w:val="00433903"/>
    <w:rsid w:val="00475849"/>
    <w:rsid w:val="00490E3D"/>
    <w:rsid w:val="004A4C1D"/>
    <w:rsid w:val="005336FE"/>
    <w:rsid w:val="00560431"/>
    <w:rsid w:val="005A67B5"/>
    <w:rsid w:val="00626C16"/>
    <w:rsid w:val="007220B9"/>
    <w:rsid w:val="007226CC"/>
    <w:rsid w:val="0075725C"/>
    <w:rsid w:val="008137C3"/>
    <w:rsid w:val="00833540"/>
    <w:rsid w:val="00852806"/>
    <w:rsid w:val="0085534B"/>
    <w:rsid w:val="00876EC0"/>
    <w:rsid w:val="0091028A"/>
    <w:rsid w:val="00984AD1"/>
    <w:rsid w:val="009D0CBF"/>
    <w:rsid w:val="009F4438"/>
    <w:rsid w:val="00A45DF1"/>
    <w:rsid w:val="00A54C28"/>
    <w:rsid w:val="00B865AF"/>
    <w:rsid w:val="00D712D2"/>
    <w:rsid w:val="00E65930"/>
    <w:rsid w:val="00E97A7F"/>
    <w:rsid w:val="00F06551"/>
    <w:rsid w:val="00F4721C"/>
    <w:rsid w:val="00F72BD3"/>
    <w:rsid w:val="00F770BB"/>
    <w:rsid w:val="00F9345B"/>
    <w:rsid w:val="00FB1353"/>
    <w:rsid w:val="00FB1C10"/>
    <w:rsid w:val="00FD77F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299</Words>
  <Characters>1707</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2</cp:revision>
  <cp:lastPrinted>2017-01-26T11:05:00Z</cp:lastPrinted>
  <dcterms:created xsi:type="dcterms:W3CDTF">2017-06-08T08:59:00Z</dcterms:created>
  <dcterms:modified xsi:type="dcterms:W3CDTF">2017-06-08T08:59:00Z</dcterms:modified>
</cp:coreProperties>
</file>