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31" w:rsidRDefault="0011007C" w:rsidP="00F06551">
      <w:pPr>
        <w:spacing w:after="0" w:line="240" w:lineRule="auto"/>
        <w:rPr>
          <w:rFonts w:ascii="Arial" w:eastAsia="Times New Roman" w:hAnsi="Arial" w:cs="Arial"/>
          <w:b/>
          <w:sz w:val="24"/>
          <w:szCs w:val="24"/>
          <w:lang w:eastAsia="sl-SI"/>
        </w:rPr>
      </w:pPr>
      <w:r w:rsidRPr="0011007C">
        <w:rPr>
          <w:rFonts w:ascii="Arial" w:eastAsia="Times New Roman" w:hAnsi="Arial" w:cs="Arial"/>
          <w:b/>
          <w:sz w:val="24"/>
          <w:szCs w:val="24"/>
          <w:lang w:eastAsia="sl-SI"/>
        </w:rPr>
        <w:t>221 Lega, obseg in podnebje Afrike</w:t>
      </w:r>
      <w:bookmarkStart w:id="0" w:name="_GoBack"/>
      <w:bookmarkEnd w:id="0"/>
    </w:p>
    <w:p w:rsidR="00560431" w:rsidRDefault="00560431"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91A" w:rsidRDefault="00EA791A" w:rsidP="007226CC">
      <w:pPr>
        <w:spacing w:after="0" w:line="240" w:lineRule="auto"/>
      </w:pPr>
      <w:r>
        <w:separator/>
      </w:r>
    </w:p>
  </w:endnote>
  <w:endnote w:type="continuationSeparator" w:id="0">
    <w:p w:rsidR="00EA791A" w:rsidRDefault="00EA791A"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91A" w:rsidRDefault="00EA791A" w:rsidP="007226CC">
      <w:pPr>
        <w:spacing w:after="0" w:line="240" w:lineRule="auto"/>
      </w:pPr>
      <w:r>
        <w:separator/>
      </w:r>
    </w:p>
  </w:footnote>
  <w:footnote w:type="continuationSeparator" w:id="0">
    <w:p w:rsidR="00EA791A" w:rsidRDefault="00EA791A"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07C"/>
    <w:rsid w:val="00110FC6"/>
    <w:rsid w:val="00137CC5"/>
    <w:rsid w:val="001739CB"/>
    <w:rsid w:val="001A7F10"/>
    <w:rsid w:val="00217648"/>
    <w:rsid w:val="00267982"/>
    <w:rsid w:val="00312AB8"/>
    <w:rsid w:val="003A6BB3"/>
    <w:rsid w:val="003B11DC"/>
    <w:rsid w:val="003D2AB1"/>
    <w:rsid w:val="00433903"/>
    <w:rsid w:val="00475849"/>
    <w:rsid w:val="00490E3D"/>
    <w:rsid w:val="004A4C1D"/>
    <w:rsid w:val="00560431"/>
    <w:rsid w:val="005A67B5"/>
    <w:rsid w:val="00626C16"/>
    <w:rsid w:val="007220B9"/>
    <w:rsid w:val="007226CC"/>
    <w:rsid w:val="0075725C"/>
    <w:rsid w:val="007E0941"/>
    <w:rsid w:val="007E104C"/>
    <w:rsid w:val="008137C3"/>
    <w:rsid w:val="00833540"/>
    <w:rsid w:val="00852806"/>
    <w:rsid w:val="0085534B"/>
    <w:rsid w:val="0086490E"/>
    <w:rsid w:val="00876EC0"/>
    <w:rsid w:val="0091028A"/>
    <w:rsid w:val="00984AD1"/>
    <w:rsid w:val="009D0CBF"/>
    <w:rsid w:val="009F4438"/>
    <w:rsid w:val="00A45DF1"/>
    <w:rsid w:val="00A54C28"/>
    <w:rsid w:val="00B865AF"/>
    <w:rsid w:val="00D20369"/>
    <w:rsid w:val="00D712D2"/>
    <w:rsid w:val="00E65930"/>
    <w:rsid w:val="00E97A7F"/>
    <w:rsid w:val="00EA791A"/>
    <w:rsid w:val="00F06551"/>
    <w:rsid w:val="00F4721C"/>
    <w:rsid w:val="00F72BD3"/>
    <w:rsid w:val="00F770BB"/>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2</cp:revision>
  <cp:lastPrinted>2017-01-26T11:05:00Z</cp:lastPrinted>
  <dcterms:created xsi:type="dcterms:W3CDTF">2017-10-09T16:26:00Z</dcterms:created>
  <dcterms:modified xsi:type="dcterms:W3CDTF">2017-10-09T16:26:00Z</dcterms:modified>
</cp:coreProperties>
</file>